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r>
        <w:rPr>
          <w:rFonts w:ascii="Times New Roman" w:hAnsi="Times New Roman" w:cs="Times New Roman"/>
          <w:noProof/>
          <w:sz w:val="24"/>
          <w:szCs w:val="24"/>
          <w:lang w:eastAsia="ru-RU"/>
        </w:rPr>
        <w:drawing>
          <wp:anchor distT="0" distB="0" distL="114935" distR="114935" simplePos="0" relativeHeight="251658240" behindDoc="0" locked="0" layoutInCell="1" allowOverlap="1">
            <wp:simplePos x="0" y="0"/>
            <wp:positionH relativeFrom="column">
              <wp:posOffset>-3810</wp:posOffset>
            </wp:positionH>
            <wp:positionV relativeFrom="paragraph">
              <wp:posOffset>3810</wp:posOffset>
            </wp:positionV>
            <wp:extent cx="2417445" cy="2724150"/>
            <wp:effectExtent l="19050" t="0" r="190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17445" cy="2724150"/>
                    </a:xfrm>
                    <a:prstGeom prst="rect">
                      <a:avLst/>
                    </a:prstGeom>
                    <a:solidFill>
                      <a:srgbClr val="FFFFFF"/>
                    </a:solidFill>
                  </pic:spPr>
                </pic:pic>
              </a:graphicData>
            </a:graphic>
          </wp:anchor>
        </w:drawing>
      </w: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P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r w:rsidRPr="00DA4A7C">
        <w:rPr>
          <w:rFonts w:ascii="Times New Roman" w:eastAsia="Times New Roman" w:hAnsi="Times New Roman" w:cs="Times New Roman"/>
          <w:b/>
          <w:bCs/>
          <w:color w:val="000000"/>
          <w:sz w:val="36"/>
          <w:szCs w:val="36"/>
          <w:lang w:eastAsia="ru-RU"/>
        </w:rPr>
        <w:t>Права выборного органа профсоюзной организации в соответствии с трудовым кодексом Российской Федерации</w:t>
      </w:r>
    </w:p>
    <w:p w:rsidR="00DA4A7C" w:rsidRP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P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P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36"/>
          <w:szCs w:val="36"/>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DA4A7C" w:rsidRDefault="00DA4A7C"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41547" w:rsidRDefault="00841547" w:rsidP="008E4E56">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lang w:eastAsia="ru-RU"/>
        </w:rPr>
      </w:pPr>
    </w:p>
    <w:p w:rsidR="008E4E56" w:rsidRPr="00DA4A7C" w:rsidRDefault="008E4E56" w:rsidP="008E4E56">
      <w:pPr>
        <w:shd w:val="clear" w:color="auto" w:fill="FFFFFF"/>
        <w:spacing w:after="0" w:line="336" w:lineRule="atLeast"/>
        <w:jc w:val="center"/>
        <w:textAlignment w:val="baseline"/>
        <w:rPr>
          <w:rFonts w:ascii="Times New Roman" w:eastAsia="Times New Roman" w:hAnsi="Times New Roman" w:cs="Times New Roman"/>
          <w:b/>
          <w:color w:val="000000"/>
          <w:sz w:val="28"/>
          <w:szCs w:val="28"/>
          <w:lang w:eastAsia="ru-RU"/>
        </w:rPr>
      </w:pPr>
      <w:r w:rsidRPr="00DA4A7C">
        <w:rPr>
          <w:rFonts w:ascii="Times New Roman" w:eastAsia="Times New Roman" w:hAnsi="Times New Roman" w:cs="Times New Roman"/>
          <w:b/>
          <w:color w:val="000000"/>
          <w:sz w:val="28"/>
          <w:szCs w:val="28"/>
          <w:lang w:eastAsia="ru-RU"/>
        </w:rPr>
        <w:lastRenderedPageBreak/>
        <w:t>Глава 58. ЗАЩИТА ТРУДОВЫХ ПРАВ И ЗАКОННЫХ ИНТЕРЕСОВ</w:t>
      </w:r>
    </w:p>
    <w:p w:rsidR="008E4E56" w:rsidRPr="00DA4A7C" w:rsidRDefault="008E4E56" w:rsidP="008E4E56">
      <w:pPr>
        <w:shd w:val="clear" w:color="auto" w:fill="FFFFFF"/>
        <w:spacing w:before="60" w:after="105" w:line="336" w:lineRule="atLeast"/>
        <w:jc w:val="center"/>
        <w:textAlignment w:val="baseline"/>
        <w:rPr>
          <w:rFonts w:ascii="Times New Roman" w:eastAsia="Times New Roman" w:hAnsi="Times New Roman" w:cs="Times New Roman"/>
          <w:b/>
          <w:color w:val="000000"/>
          <w:sz w:val="28"/>
          <w:szCs w:val="28"/>
          <w:lang w:eastAsia="ru-RU"/>
        </w:rPr>
      </w:pPr>
      <w:r w:rsidRPr="00DA4A7C">
        <w:rPr>
          <w:rFonts w:ascii="Times New Roman" w:eastAsia="Times New Roman" w:hAnsi="Times New Roman" w:cs="Times New Roman"/>
          <w:b/>
          <w:color w:val="000000"/>
          <w:sz w:val="28"/>
          <w:szCs w:val="28"/>
          <w:lang w:eastAsia="ru-RU"/>
        </w:rPr>
        <w:t>РАБОТНИКОВ ПРОФЕССИОНАЛЬНЫМИ СОЮЗАМИ</w:t>
      </w:r>
    </w:p>
    <w:p w:rsidR="008E4E56" w:rsidRPr="008E4E56" w:rsidRDefault="008E4E56" w:rsidP="008E4E56">
      <w:pPr>
        <w:shd w:val="clear" w:color="auto" w:fill="FFFFFF"/>
        <w:spacing w:after="0" w:line="336" w:lineRule="atLeast"/>
        <w:jc w:val="center"/>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i/>
          <w:iCs/>
          <w:color w:val="000000"/>
          <w:sz w:val="28"/>
          <w:szCs w:val="28"/>
          <w:lang w:eastAsia="ru-RU"/>
        </w:rPr>
        <w:t>(в ред. Федерального закона от 30.06.2006 N 90-ФЗ)</w:t>
      </w:r>
    </w:p>
    <w:p w:rsidR="00DA4A7C" w:rsidRDefault="00DA4A7C" w:rsidP="008E4E56">
      <w:pPr>
        <w:shd w:val="clear" w:color="auto" w:fill="FFFFFF"/>
        <w:spacing w:after="0" w:line="336" w:lineRule="atLeast"/>
        <w:textAlignment w:val="baseline"/>
        <w:rPr>
          <w:rFonts w:ascii="Times New Roman" w:eastAsia="Times New Roman" w:hAnsi="Times New Roman" w:cs="Times New Roman"/>
          <w:b/>
          <w:bCs/>
          <w:color w:val="000000"/>
          <w:sz w:val="28"/>
          <w:szCs w:val="28"/>
          <w:lang w:eastAsia="ru-RU"/>
        </w:rPr>
      </w:pPr>
    </w:p>
    <w:p w:rsidR="008E4E56" w:rsidRDefault="008E4E56" w:rsidP="00DA4A7C">
      <w:pPr>
        <w:shd w:val="clear" w:color="auto" w:fill="FFFFFF"/>
        <w:spacing w:after="0" w:line="336" w:lineRule="atLeast"/>
        <w:jc w:val="both"/>
        <w:textAlignment w:val="baseline"/>
        <w:rPr>
          <w:rFonts w:ascii="Times New Roman" w:eastAsia="Times New Roman" w:hAnsi="Times New Roman" w:cs="Times New Roman"/>
          <w:b/>
          <w:bCs/>
          <w:color w:val="000000"/>
          <w:sz w:val="28"/>
          <w:szCs w:val="28"/>
          <w:lang w:eastAsia="ru-RU"/>
        </w:rPr>
      </w:pPr>
      <w:r w:rsidRPr="008E4E56">
        <w:rPr>
          <w:rFonts w:ascii="Times New Roman" w:eastAsia="Times New Roman" w:hAnsi="Times New Roman" w:cs="Times New Roman"/>
          <w:b/>
          <w:bCs/>
          <w:color w:val="000000"/>
          <w:sz w:val="28"/>
          <w:szCs w:val="28"/>
          <w:lang w:eastAsia="ru-RU"/>
        </w:rPr>
        <w:t xml:space="preserve">Статья 370. Право профессиональных союзов на осуществление </w:t>
      </w:r>
      <w:proofErr w:type="gramStart"/>
      <w:r w:rsidRPr="008E4E56">
        <w:rPr>
          <w:rFonts w:ascii="Times New Roman" w:eastAsia="Times New Roman" w:hAnsi="Times New Roman" w:cs="Times New Roman"/>
          <w:b/>
          <w:bCs/>
          <w:color w:val="000000"/>
          <w:sz w:val="28"/>
          <w:szCs w:val="28"/>
          <w:lang w:eastAsia="ru-RU"/>
        </w:rPr>
        <w:t>контроля за</w:t>
      </w:r>
      <w:proofErr w:type="gramEnd"/>
      <w:r w:rsidRPr="008E4E56">
        <w:rPr>
          <w:rFonts w:ascii="Times New Roman" w:eastAsia="Times New Roman" w:hAnsi="Times New Roman" w:cs="Times New Roman"/>
          <w:b/>
          <w:bCs/>
          <w:color w:val="000000"/>
          <w:sz w:val="28"/>
          <w:szCs w:val="28"/>
          <w:lang w:eastAsia="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DA4A7C" w:rsidRPr="008E4E56" w:rsidRDefault="00DA4A7C" w:rsidP="00DA4A7C">
      <w:pPr>
        <w:shd w:val="clear" w:color="auto" w:fill="FFFFFF"/>
        <w:spacing w:after="0" w:line="336" w:lineRule="atLeast"/>
        <w:jc w:val="both"/>
        <w:textAlignment w:val="baseline"/>
        <w:rPr>
          <w:rFonts w:ascii="Times New Roman" w:eastAsia="Times New Roman" w:hAnsi="Times New Roman" w:cs="Times New Roman"/>
          <w:color w:val="000000"/>
          <w:sz w:val="28"/>
          <w:szCs w:val="28"/>
          <w:lang w:eastAsia="ru-RU"/>
        </w:rPr>
      </w:pP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 xml:space="preserve">Профессиональные союзы имеют право на осуществление </w:t>
      </w:r>
      <w:proofErr w:type="gramStart"/>
      <w:r w:rsidRPr="008E4E56">
        <w:rPr>
          <w:rFonts w:ascii="Times New Roman" w:eastAsia="Times New Roman" w:hAnsi="Times New Roman" w:cs="Times New Roman"/>
          <w:color w:val="000000"/>
          <w:sz w:val="28"/>
          <w:szCs w:val="28"/>
          <w:lang w:eastAsia="ru-RU"/>
        </w:rPr>
        <w:t>контроля за</w:t>
      </w:r>
      <w:proofErr w:type="gramEnd"/>
      <w:r w:rsidRPr="008E4E56">
        <w:rPr>
          <w:rFonts w:ascii="Times New Roman" w:eastAsia="Times New Roman" w:hAnsi="Times New Roman" w:cs="Times New Roman"/>
          <w:color w:val="000000"/>
          <w:sz w:val="28"/>
          <w:szCs w:val="28"/>
          <w:lang w:eastAsia="ru-RU"/>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 xml:space="preserve">Для осуществления </w:t>
      </w:r>
      <w:proofErr w:type="gramStart"/>
      <w:r w:rsidRPr="008E4E56">
        <w:rPr>
          <w:rFonts w:ascii="Times New Roman" w:eastAsia="Times New Roman" w:hAnsi="Times New Roman" w:cs="Times New Roman"/>
          <w:color w:val="000000"/>
          <w:sz w:val="28"/>
          <w:szCs w:val="28"/>
          <w:lang w:eastAsia="ru-RU"/>
        </w:rPr>
        <w:t>контроля за</w:t>
      </w:r>
      <w:proofErr w:type="gramEnd"/>
      <w:r w:rsidRPr="008E4E56">
        <w:rPr>
          <w:rFonts w:ascii="Times New Roman" w:eastAsia="Times New Roman" w:hAnsi="Times New Roman" w:cs="Times New Roman"/>
          <w:color w:val="000000"/>
          <w:sz w:val="28"/>
          <w:szCs w:val="28"/>
          <w:lang w:eastAsia="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proofErr w:type="gramStart"/>
      <w:r w:rsidRPr="008E4E56">
        <w:rPr>
          <w:rFonts w:ascii="Times New Roman" w:eastAsia="Times New Roman" w:hAnsi="Times New Roman" w:cs="Times New Roman"/>
          <w:color w:val="000000"/>
          <w:sz w:val="28"/>
          <w:szCs w:val="28"/>
          <w:lang w:eastAsia="ru-RU"/>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w:t>
      </w:r>
      <w:proofErr w:type="gramEnd"/>
      <w:r w:rsidRPr="008E4E56">
        <w:rPr>
          <w:rFonts w:ascii="Times New Roman" w:eastAsia="Times New Roman" w:hAnsi="Times New Roman" w:cs="Times New Roman"/>
          <w:color w:val="000000"/>
          <w:sz w:val="28"/>
          <w:szCs w:val="28"/>
          <w:lang w:eastAsia="ru-RU"/>
        </w:rPr>
        <w:t xml:space="preserve"> договоров, соглашений.</w:t>
      </w:r>
    </w:p>
    <w:p w:rsidR="008E4E56" w:rsidRPr="008E4E56" w:rsidRDefault="008E4E56" w:rsidP="00DA4A7C">
      <w:pPr>
        <w:shd w:val="clear" w:color="auto" w:fill="FFFFFF"/>
        <w:spacing w:before="60" w:after="105" w:line="336" w:lineRule="atLeast"/>
        <w:jc w:val="both"/>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Профсоюзные инспекторы труда, уполномоченные (доверенные) лица по охране труда профессиональных союзов имеют право:</w:t>
      </w:r>
    </w:p>
    <w:p w:rsidR="008E4E56" w:rsidRPr="008E4E56" w:rsidRDefault="008E4E56" w:rsidP="00DA4A7C">
      <w:pPr>
        <w:rPr>
          <w:rFonts w:ascii="Times New Roman" w:hAnsi="Times New Roman" w:cs="Times New Roman"/>
          <w:sz w:val="28"/>
          <w:szCs w:val="28"/>
        </w:rPr>
      </w:pPr>
      <w:r w:rsidRPr="008E4E56">
        <w:rPr>
          <w:rFonts w:ascii="Times New Roman" w:hAnsi="Times New Roman" w:cs="Times New Roman"/>
          <w:sz w:val="28"/>
          <w:szCs w:val="28"/>
        </w:rPr>
        <w:t xml:space="preserve">осуществлять </w:t>
      </w:r>
      <w:proofErr w:type="gramStart"/>
      <w:r w:rsidRPr="008E4E56">
        <w:rPr>
          <w:rFonts w:ascii="Times New Roman" w:hAnsi="Times New Roman" w:cs="Times New Roman"/>
          <w:sz w:val="28"/>
          <w:szCs w:val="28"/>
        </w:rPr>
        <w:t>контроль за</w:t>
      </w:r>
      <w:proofErr w:type="gramEnd"/>
      <w:r w:rsidRPr="008E4E56">
        <w:rPr>
          <w:rFonts w:ascii="Times New Roman" w:hAnsi="Times New Roman" w:cs="Times New Roman"/>
          <w:sz w:val="28"/>
          <w:szCs w:val="28"/>
        </w:rPr>
        <w:t xml:space="preserve"> соблюдением работодателями трудового законодательства и иных нормативных правовых актов, содержащих нормы трудового права;</w:t>
      </w:r>
      <w:r w:rsidRPr="008E4E56">
        <w:rPr>
          <w:rFonts w:ascii="Times New Roman" w:hAnsi="Times New Roman" w:cs="Times New Roman"/>
          <w:sz w:val="28"/>
          <w:szCs w:val="28"/>
        </w:rPr>
        <w:br/>
        <w:t>проводить независимую экспертизу условий труда и обеспечения безопасности работников;</w:t>
      </w:r>
      <w:r w:rsidRPr="008E4E56">
        <w:rPr>
          <w:rFonts w:ascii="Times New Roman" w:hAnsi="Times New Roman" w:cs="Times New Roman"/>
          <w:sz w:val="28"/>
          <w:szCs w:val="28"/>
        </w:rPr>
        <w:br/>
      </w:r>
      <w:r w:rsidRPr="008E4E56">
        <w:rPr>
          <w:rFonts w:ascii="Times New Roman" w:hAnsi="Times New Roman" w:cs="Times New Roman"/>
          <w:sz w:val="28"/>
          <w:szCs w:val="28"/>
        </w:rPr>
        <w:lastRenderedPageBreak/>
        <w:t>принимать участие в расследовании несчастных случаев на производстве и профессиональных заболеваний;</w:t>
      </w:r>
      <w:r w:rsidRPr="008E4E56">
        <w:rPr>
          <w:rFonts w:ascii="Times New Roman" w:hAnsi="Times New Roman" w:cs="Times New Roman"/>
          <w:sz w:val="28"/>
          <w:szCs w:val="28"/>
        </w:rPr>
        <w:b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8E4E56">
        <w:rPr>
          <w:rFonts w:ascii="Times New Roman" w:hAnsi="Times New Roman" w:cs="Times New Roman"/>
          <w:sz w:val="28"/>
          <w:szCs w:val="28"/>
        </w:rPr>
        <w:t>о</w:t>
      </w:r>
      <w:proofErr w:type="gramEnd"/>
      <w:r w:rsidRPr="008E4E56">
        <w:rPr>
          <w:rFonts w:ascii="Times New Roman" w:hAnsi="Times New Roman" w:cs="Times New Roman"/>
          <w:sz w:val="28"/>
          <w:szCs w:val="28"/>
        </w:rPr>
        <w:t xml:space="preserve"> всех несчастных случаях на производстве и профессиональных заболеваниях;</w:t>
      </w:r>
      <w:r w:rsidRPr="008E4E56">
        <w:rPr>
          <w:rFonts w:ascii="Times New Roman" w:hAnsi="Times New Roman" w:cs="Times New Roman"/>
          <w:sz w:val="28"/>
          <w:szCs w:val="28"/>
        </w:rPr>
        <w:br/>
        <w:t>защищать права и законные интересы членов профессионального союза по вопросам возмещения вреда, причиненного их здоровью на производстве (работе);</w:t>
      </w:r>
      <w:r w:rsidRPr="008E4E56">
        <w:rPr>
          <w:rFonts w:ascii="Times New Roman" w:hAnsi="Times New Roman" w:cs="Times New Roman"/>
          <w:sz w:val="28"/>
          <w:szCs w:val="28"/>
        </w:rPr>
        <w:br/>
        <w:t>предъявлять работодателям требования о приостановке работ в случаях непосредственной угрозы жизни и здоровью работников;</w:t>
      </w:r>
      <w:r w:rsidRPr="008E4E56">
        <w:rPr>
          <w:rFonts w:ascii="Times New Roman" w:hAnsi="Times New Roman" w:cs="Times New Roman"/>
          <w:sz w:val="28"/>
          <w:szCs w:val="28"/>
        </w:rPr>
        <w:b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sidRPr="008E4E56">
        <w:rPr>
          <w:rFonts w:ascii="Times New Roman" w:hAnsi="Times New Roman" w:cs="Times New Roman"/>
          <w:sz w:val="28"/>
          <w:szCs w:val="28"/>
        </w:rPr>
        <w:b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r w:rsidRPr="008E4E56">
        <w:rPr>
          <w:rFonts w:ascii="Times New Roman" w:hAnsi="Times New Roman" w:cs="Times New Roman"/>
          <w:sz w:val="28"/>
          <w:szCs w:val="28"/>
        </w:rPr>
        <w:br/>
        <w:t>принимать участие в работе комиссий по испытаниям и приему в эксплуатацию сре</w:t>
      </w:r>
      <w:proofErr w:type="gramStart"/>
      <w:r w:rsidRPr="008E4E56">
        <w:rPr>
          <w:rFonts w:ascii="Times New Roman" w:hAnsi="Times New Roman" w:cs="Times New Roman"/>
          <w:sz w:val="28"/>
          <w:szCs w:val="28"/>
        </w:rPr>
        <w:t>дств пр</w:t>
      </w:r>
      <w:proofErr w:type="gramEnd"/>
      <w:r w:rsidRPr="008E4E56">
        <w:rPr>
          <w:rFonts w:ascii="Times New Roman" w:hAnsi="Times New Roman" w:cs="Times New Roman"/>
          <w:sz w:val="28"/>
          <w:szCs w:val="28"/>
        </w:rPr>
        <w:t>оизводства в качестве независимых экспертов;</w:t>
      </w:r>
      <w:r w:rsidRPr="008E4E56">
        <w:rPr>
          <w:rFonts w:ascii="Times New Roman" w:hAnsi="Times New Roman" w:cs="Times New Roman"/>
          <w:sz w:val="28"/>
          <w:szCs w:val="28"/>
        </w:rPr>
        <w:b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r w:rsidRPr="008E4E56">
        <w:rPr>
          <w:rFonts w:ascii="Times New Roman" w:hAnsi="Times New Roman" w:cs="Times New Roman"/>
          <w:sz w:val="28"/>
          <w:szCs w:val="28"/>
        </w:rPr>
        <w:br/>
      </w:r>
      <w:proofErr w:type="gramStart"/>
      <w:r w:rsidRPr="008E4E56">
        <w:rPr>
          <w:rFonts w:ascii="Times New Roman" w:hAnsi="Times New Roman" w:cs="Times New Roman"/>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r w:rsidRPr="008E4E56">
        <w:rPr>
          <w:rFonts w:ascii="Times New Roman" w:hAnsi="Times New Roman" w:cs="Times New Roman"/>
          <w:sz w:val="28"/>
          <w:szCs w:val="28"/>
        </w:rPr>
        <w:b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roofErr w:type="gramEnd"/>
      <w:r w:rsidRPr="008E4E56">
        <w:rPr>
          <w:rFonts w:ascii="Times New Roman" w:hAnsi="Times New Roman" w:cs="Times New Roman"/>
          <w:sz w:val="28"/>
          <w:szCs w:val="28"/>
        </w:rPr>
        <w:b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E4E56" w:rsidRPr="008E4E56" w:rsidRDefault="008E4E56" w:rsidP="008E4E56">
      <w:pPr>
        <w:rPr>
          <w:rFonts w:ascii="Times New Roman" w:eastAsia="Times New Roman" w:hAnsi="Times New Roman" w:cs="Times New Roman"/>
          <w:color w:val="000000"/>
          <w:sz w:val="28"/>
          <w:szCs w:val="28"/>
          <w:lang w:eastAsia="ru-RU"/>
        </w:rPr>
      </w:pPr>
      <w:proofErr w:type="gramStart"/>
      <w:r w:rsidRPr="008E4E56">
        <w:rPr>
          <w:rFonts w:ascii="Times New Roman" w:hAnsi="Times New Roman" w:cs="Times New Roman"/>
          <w:sz w:val="28"/>
          <w:szCs w:val="28"/>
        </w:rPr>
        <w:t>Профессиональные союзы, их инспекции труда при осуществлении</w:t>
      </w:r>
      <w:r w:rsidRPr="008E4E56">
        <w:rPr>
          <w:rFonts w:ascii="Times New Roman" w:eastAsia="Times New Roman" w:hAnsi="Times New Roman" w:cs="Times New Roman"/>
          <w:color w:val="000000"/>
          <w:sz w:val="28"/>
          <w:szCs w:val="28"/>
          <w:lang w:eastAsia="ru-RU"/>
        </w:rPr>
        <w:t xml:space="preserve">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lastRenderedPageBreak/>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DA4A7C" w:rsidRPr="008E4E56" w:rsidRDefault="00DA4A7C"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371. Принятие решений работодателем с учетом мнения профсоюзного органа</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принимает решения с учетом мнения соответствующего профсоюзного органа в случаях, предусмотренных настоящим Кодексом.</w:t>
      </w:r>
    </w:p>
    <w:p w:rsidR="00DA4A7C" w:rsidRPr="008E4E56" w:rsidRDefault="00DA4A7C"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 случае</w:t>
      </w:r>
      <w:proofErr w:type="gramStart"/>
      <w:r w:rsidRPr="008E4E56">
        <w:rPr>
          <w:rFonts w:ascii="Times New Roman" w:eastAsia="Times New Roman" w:hAnsi="Times New Roman" w:cs="Times New Roman"/>
          <w:color w:val="000000"/>
          <w:sz w:val="28"/>
          <w:szCs w:val="28"/>
          <w:lang w:eastAsia="ru-RU"/>
        </w:rPr>
        <w:t>,</w:t>
      </w:r>
      <w:proofErr w:type="gramEnd"/>
      <w:r w:rsidRPr="008E4E56">
        <w:rPr>
          <w:rFonts w:ascii="Times New Roman" w:eastAsia="Times New Roman" w:hAnsi="Times New Roman" w:cs="Times New Roman"/>
          <w:color w:val="000000"/>
          <w:sz w:val="28"/>
          <w:szCs w:val="28"/>
          <w:lang w:eastAsia="ru-RU"/>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При не</w:t>
      </w:r>
      <w:r w:rsidR="002F1E72">
        <w:rPr>
          <w:rFonts w:ascii="Times New Roman" w:eastAsia="Times New Roman" w:hAnsi="Times New Roman" w:cs="Times New Roman"/>
          <w:color w:val="000000"/>
          <w:sz w:val="28"/>
          <w:szCs w:val="28"/>
          <w:lang w:eastAsia="ru-RU"/>
        </w:rPr>
        <w:t xml:space="preserve"> </w:t>
      </w:r>
      <w:r w:rsidRPr="008E4E56">
        <w:rPr>
          <w:rFonts w:ascii="Times New Roman" w:eastAsia="Times New Roman" w:hAnsi="Times New Roman" w:cs="Times New Roman"/>
          <w:color w:val="000000"/>
          <w:sz w:val="28"/>
          <w:szCs w:val="28"/>
          <w:lang w:eastAsia="ru-RU"/>
        </w:rPr>
        <w:t>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F3270" w:rsidRPr="008E4E56" w:rsidRDefault="00DF3270"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lastRenderedPageBreak/>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roofErr w:type="gramStart"/>
      <w:r w:rsidRPr="008E4E56">
        <w:rPr>
          <w:rFonts w:ascii="Times New Roman" w:eastAsia="Times New Roman" w:hAnsi="Times New Roman" w:cs="Times New Roman"/>
          <w:color w:val="000000"/>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 случае</w:t>
      </w:r>
      <w:proofErr w:type="gramStart"/>
      <w:r w:rsidRPr="008E4E56">
        <w:rPr>
          <w:rFonts w:ascii="Times New Roman" w:eastAsia="Times New Roman" w:hAnsi="Times New Roman" w:cs="Times New Roman"/>
          <w:color w:val="000000"/>
          <w:sz w:val="28"/>
          <w:szCs w:val="28"/>
          <w:lang w:eastAsia="ru-RU"/>
        </w:rPr>
        <w:t>,</w:t>
      </w:r>
      <w:proofErr w:type="gramEnd"/>
      <w:r w:rsidRPr="008E4E56">
        <w:rPr>
          <w:rFonts w:ascii="Times New Roman" w:eastAsia="Times New Roman" w:hAnsi="Times New Roman" w:cs="Times New Roman"/>
          <w:color w:val="000000"/>
          <w:sz w:val="28"/>
          <w:szCs w:val="28"/>
          <w:lang w:eastAsia="ru-RU"/>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rsidR="002F1E72">
        <w:rPr>
          <w:rFonts w:ascii="Times New Roman" w:eastAsia="Times New Roman" w:hAnsi="Times New Roman" w:cs="Times New Roman"/>
          <w:color w:val="000000"/>
          <w:sz w:val="28"/>
          <w:szCs w:val="28"/>
          <w:lang w:eastAsia="ru-RU"/>
        </w:rPr>
        <w:t xml:space="preserve"> </w:t>
      </w:r>
      <w:r w:rsidRPr="008E4E56">
        <w:rPr>
          <w:rFonts w:ascii="Times New Roman" w:eastAsia="Times New Roman" w:hAnsi="Times New Roman" w:cs="Times New Roman"/>
          <w:color w:val="000000"/>
          <w:sz w:val="28"/>
          <w:szCs w:val="28"/>
          <w:lang w:eastAsia="ru-RU"/>
        </w:rPr>
        <w:t>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F3270" w:rsidRPr="008E4E56" w:rsidRDefault="00DF3270"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Default="008E4E56" w:rsidP="008E4E56">
      <w:pPr>
        <w:shd w:val="clear" w:color="auto" w:fill="FFFFFF"/>
        <w:spacing w:after="0" w:line="336" w:lineRule="atLeast"/>
        <w:textAlignment w:val="baseline"/>
        <w:rPr>
          <w:rFonts w:ascii="Times New Roman" w:eastAsia="Times New Roman" w:hAnsi="Times New Roman" w:cs="Times New Roman"/>
          <w:b/>
          <w:bCs/>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B7833" w:rsidRPr="008E4E56" w:rsidRDefault="00EB7833"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p>
    <w:p w:rsidR="00EB7833" w:rsidRPr="00EB7833" w:rsidRDefault="00EB7833" w:rsidP="00EB7833">
      <w:pPr>
        <w:shd w:val="clear" w:color="auto" w:fill="FFFFFF"/>
        <w:spacing w:after="300" w:line="300" w:lineRule="atLeast"/>
        <w:textAlignment w:val="baseline"/>
        <w:rPr>
          <w:rFonts w:ascii="Times New Roman" w:eastAsia="Times New Roman" w:hAnsi="Times New Roman" w:cs="Times New Roman"/>
          <w:color w:val="000000"/>
          <w:sz w:val="28"/>
          <w:szCs w:val="28"/>
        </w:rPr>
      </w:pPr>
      <w:proofErr w:type="gramStart"/>
      <w:r w:rsidRPr="00EB7833">
        <w:rPr>
          <w:rFonts w:ascii="Times New Roman" w:eastAsia="Times New Roman" w:hAnsi="Times New Roman" w:cs="Times New Roman"/>
          <w:color w:val="000000"/>
          <w:sz w:val="28"/>
          <w:szCs w:val="28"/>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r w:rsidRPr="00EB7833">
        <w:rPr>
          <w:rFonts w:ascii="Times New Roman" w:eastAsia="Times New Roman" w:hAnsi="Times New Roman" w:cs="Times New Roman"/>
          <w:color w:val="000000"/>
          <w:sz w:val="28"/>
          <w:szCs w:val="28"/>
        </w:rPr>
        <w:br/>
      </w:r>
      <w:r w:rsidRPr="00EB7833">
        <w:rPr>
          <w:rFonts w:ascii="Times New Roman" w:eastAsia="Times New Roman" w:hAnsi="Times New Roman" w:cs="Times New Roman"/>
          <w:color w:val="000000"/>
          <w:sz w:val="28"/>
          <w:szCs w:val="28"/>
        </w:rPr>
        <w:lastRenderedPageBreak/>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r w:rsidRPr="00EB7833">
        <w:rPr>
          <w:rFonts w:ascii="Times New Roman" w:eastAsia="Times New Roman" w:hAnsi="Times New Roman" w:cs="Times New Roman"/>
          <w:color w:val="000000"/>
          <w:sz w:val="28"/>
          <w:szCs w:val="28"/>
        </w:rPr>
        <w:b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375. Гарантии освобожденным профсоюзным работникам</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roofErr w:type="gramStart"/>
      <w:r w:rsidRPr="008E4E56">
        <w:rPr>
          <w:rFonts w:ascii="Times New Roman" w:eastAsia="Times New Roman" w:hAnsi="Times New Roman" w:cs="Times New Roman"/>
          <w:color w:val="000000"/>
          <w:sz w:val="28"/>
          <w:szCs w:val="28"/>
          <w:lang w:eastAsia="ru-RU"/>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8E4E56">
        <w:rPr>
          <w:rFonts w:ascii="Times New Roman" w:eastAsia="Times New Roman" w:hAnsi="Times New Roman" w:cs="Times New Roman"/>
          <w:color w:val="000000"/>
          <w:sz w:val="28"/>
          <w:szCs w:val="28"/>
          <w:lang w:eastAsia="ru-RU"/>
        </w:rPr>
        <w:t xml:space="preserve"> </w:t>
      </w:r>
      <w:proofErr w:type="gramStart"/>
      <w:r w:rsidRPr="008E4E56">
        <w:rPr>
          <w:rFonts w:ascii="Times New Roman" w:eastAsia="Times New Roman" w:hAnsi="Times New Roman" w:cs="Times New Roman"/>
          <w:color w:val="000000"/>
          <w:sz w:val="28"/>
          <w:szCs w:val="28"/>
          <w:lang w:eastAsia="ru-RU"/>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r w:rsidRPr="008E4E56">
        <w:rPr>
          <w:rFonts w:ascii="Times New Roman" w:eastAsia="Times New Roman" w:hAnsi="Times New Roman" w:cs="Times New Roman"/>
          <w:color w:val="000000"/>
          <w:sz w:val="28"/>
          <w:szCs w:val="28"/>
          <w:lang w:eastAsia="ru-RU"/>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C3459" w:rsidRPr="008E4E56" w:rsidRDefault="000C3459"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376. Гарантии права на труд работникам, являвшимся членами выборного профсоюзного органа</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 xml:space="preserve">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w:t>
      </w:r>
      <w:r w:rsidRPr="008E4E56">
        <w:rPr>
          <w:rFonts w:ascii="Times New Roman" w:eastAsia="Times New Roman" w:hAnsi="Times New Roman" w:cs="Times New Roman"/>
          <w:color w:val="000000"/>
          <w:sz w:val="28"/>
          <w:szCs w:val="28"/>
          <w:lang w:eastAsia="ru-RU"/>
        </w:rPr>
        <w:lastRenderedPageBreak/>
        <w:t>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0C3459" w:rsidRPr="008E4E56" w:rsidRDefault="000C3459"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C3459" w:rsidRPr="008E4E56" w:rsidRDefault="000C3459"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p>
    <w:p w:rsidR="008E4E56" w:rsidRPr="008E4E56" w:rsidRDefault="008E4E56" w:rsidP="008E4E56">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b/>
          <w:bCs/>
          <w:color w:val="000000"/>
          <w:sz w:val="28"/>
          <w:szCs w:val="28"/>
          <w:lang w:eastAsia="ru-RU"/>
        </w:rPr>
        <w:t>Статья 378. Ответственность за нарушение прав профессиональных союзов</w:t>
      </w:r>
    </w:p>
    <w:p w:rsidR="008E4E56" w:rsidRPr="008E4E56" w:rsidRDefault="008E4E56" w:rsidP="008E4E56">
      <w:pPr>
        <w:shd w:val="clear" w:color="auto" w:fill="FFFFFF"/>
        <w:spacing w:before="60" w:after="105" w:line="336" w:lineRule="atLeast"/>
        <w:textAlignment w:val="baseline"/>
        <w:rPr>
          <w:rFonts w:ascii="Times New Roman" w:eastAsia="Times New Roman" w:hAnsi="Times New Roman" w:cs="Times New Roman"/>
          <w:color w:val="000000"/>
          <w:sz w:val="28"/>
          <w:szCs w:val="28"/>
          <w:lang w:eastAsia="ru-RU"/>
        </w:rPr>
      </w:pPr>
      <w:r w:rsidRPr="008E4E56">
        <w:rPr>
          <w:rFonts w:ascii="Times New Roman" w:eastAsia="Times New Roman" w:hAnsi="Times New Roman" w:cs="Times New Roman"/>
          <w:color w:val="000000"/>
          <w:sz w:val="28"/>
          <w:szCs w:val="28"/>
          <w:lang w:eastAsia="ru-RU"/>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8E4E56" w:rsidRPr="008E4E56" w:rsidRDefault="00D65E4F" w:rsidP="008E4E56">
      <w:pPr>
        <w:shd w:val="clear" w:color="auto" w:fill="FFFFFF"/>
        <w:spacing w:after="0" w:line="336" w:lineRule="atLeast"/>
        <w:jc w:val="right"/>
        <w:textAlignment w:val="baseline"/>
        <w:rPr>
          <w:rFonts w:ascii="Times New Roman" w:eastAsia="Times New Roman" w:hAnsi="Times New Roman" w:cs="Times New Roman"/>
          <w:color w:val="000000"/>
          <w:sz w:val="28"/>
          <w:szCs w:val="28"/>
          <w:lang w:eastAsia="ru-RU"/>
        </w:rPr>
      </w:pPr>
      <w:hyperlink r:id="rId6" w:tgtFrame="_blank" w:history="1"/>
      <w:r w:rsidR="008E4E56" w:rsidRPr="008E4E56">
        <w:rPr>
          <w:rFonts w:ascii="Times New Roman" w:eastAsia="Times New Roman" w:hAnsi="Times New Roman" w:cs="Times New Roman"/>
          <w:color w:val="000000"/>
          <w:sz w:val="28"/>
          <w:szCs w:val="28"/>
          <w:lang w:eastAsia="ru-RU"/>
        </w:rPr>
        <w:t xml:space="preserve"> </w:t>
      </w:r>
    </w:p>
    <w:p w:rsidR="00F133C6" w:rsidRPr="00013A2F" w:rsidRDefault="008E4E56" w:rsidP="008E4E56">
      <w:pPr>
        <w:rPr>
          <w:rFonts w:ascii="Times New Roman" w:hAnsi="Times New Roman" w:cs="Times New Roman"/>
          <w:b/>
          <w:sz w:val="28"/>
          <w:szCs w:val="28"/>
        </w:rPr>
      </w:pPr>
      <w:r w:rsidRPr="008E4E56">
        <w:rPr>
          <w:rFonts w:ascii="Times New Roman" w:eastAsia="Times New Roman" w:hAnsi="Times New Roman" w:cs="Times New Roman"/>
          <w:color w:val="000000"/>
          <w:sz w:val="28"/>
          <w:szCs w:val="28"/>
          <w:lang w:eastAsia="ru-RU"/>
        </w:rPr>
        <w:br/>
      </w:r>
      <w:r w:rsidR="00013A2F" w:rsidRPr="00013A2F">
        <w:rPr>
          <w:rFonts w:ascii="Times New Roman" w:hAnsi="Times New Roman" w:cs="Times New Roman"/>
          <w:b/>
          <w:sz w:val="28"/>
          <w:szCs w:val="28"/>
        </w:rPr>
        <w:t>С учетом мотивированного мнения выборного профсоюзного органа работодатель рассматривает такие вопросы</w:t>
      </w:r>
      <w:proofErr w:type="gramStart"/>
      <w:r w:rsidR="00013A2F" w:rsidRPr="00013A2F">
        <w:rPr>
          <w:rFonts w:ascii="Times New Roman" w:hAnsi="Times New Roman" w:cs="Times New Roman"/>
          <w:b/>
          <w:sz w:val="28"/>
          <w:szCs w:val="28"/>
        </w:rPr>
        <w:t xml:space="preserve"> ,</w:t>
      </w:r>
      <w:proofErr w:type="gramEnd"/>
      <w:r w:rsidR="00013A2F" w:rsidRPr="00013A2F">
        <w:rPr>
          <w:rFonts w:ascii="Times New Roman" w:hAnsi="Times New Roman" w:cs="Times New Roman"/>
          <w:b/>
          <w:sz w:val="28"/>
          <w:szCs w:val="28"/>
        </w:rPr>
        <w:t xml:space="preserve"> как:</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-ввод режима неполного рабочего времени на срок до 6 месяцев (ст.73);</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-увольнение членов Профсоюза  (ст.81);</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-привлечение к сверхурочным работам (ст.99);</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-разделение рабочего времени на части (ст.105);</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-привлечение к работе в выходные  праздничные дни (ст.113);</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-очередность предоставления отпусков (ст.123);</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-установление системы оплаты и стимулирование труда (ст.159);</w:t>
      </w:r>
    </w:p>
    <w:p w:rsidR="00013A2F" w:rsidRPr="00013A2F" w:rsidRDefault="00013A2F" w:rsidP="008E4E56">
      <w:pPr>
        <w:rPr>
          <w:rFonts w:ascii="Times New Roman" w:hAnsi="Times New Roman" w:cs="Times New Roman"/>
          <w:b/>
          <w:sz w:val="28"/>
          <w:szCs w:val="28"/>
        </w:rPr>
      </w:pPr>
      <w:r w:rsidRPr="00013A2F">
        <w:rPr>
          <w:rFonts w:ascii="Times New Roman" w:hAnsi="Times New Roman" w:cs="Times New Roman"/>
          <w:b/>
          <w:sz w:val="28"/>
          <w:szCs w:val="28"/>
        </w:rPr>
        <w:t>-применение систем нормирования труда (ст. 159).</w:t>
      </w:r>
    </w:p>
    <w:sectPr w:rsidR="00013A2F" w:rsidRPr="00013A2F" w:rsidSect="008415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4E56"/>
    <w:rsid w:val="00013A2F"/>
    <w:rsid w:val="000C3459"/>
    <w:rsid w:val="002F1E72"/>
    <w:rsid w:val="0047340C"/>
    <w:rsid w:val="004F2ADA"/>
    <w:rsid w:val="0052740B"/>
    <w:rsid w:val="00631056"/>
    <w:rsid w:val="006D3275"/>
    <w:rsid w:val="00750BB1"/>
    <w:rsid w:val="00794767"/>
    <w:rsid w:val="00841547"/>
    <w:rsid w:val="008E4E56"/>
    <w:rsid w:val="00B15361"/>
    <w:rsid w:val="00D65E4F"/>
    <w:rsid w:val="00DA4A7C"/>
    <w:rsid w:val="00DF3270"/>
    <w:rsid w:val="00E81394"/>
    <w:rsid w:val="00EB7833"/>
    <w:rsid w:val="00F13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E56"/>
    <w:rPr>
      <w:b/>
      <w:bCs/>
    </w:rPr>
  </w:style>
  <w:style w:type="character" w:styleId="a5">
    <w:name w:val="Emphasis"/>
    <w:basedOn w:val="a0"/>
    <w:uiPriority w:val="20"/>
    <w:qFormat/>
    <w:rsid w:val="008E4E56"/>
    <w:rPr>
      <w:i/>
      <w:iCs/>
    </w:rPr>
  </w:style>
  <w:style w:type="character" w:customStyle="1" w:styleId="apple-converted-space">
    <w:name w:val="apple-converted-space"/>
    <w:basedOn w:val="a0"/>
    <w:rsid w:val="008E4E56"/>
  </w:style>
  <w:style w:type="character" w:styleId="a6">
    <w:name w:val="Hyperlink"/>
    <w:basedOn w:val="a0"/>
    <w:uiPriority w:val="99"/>
    <w:semiHidden/>
    <w:unhideWhenUsed/>
    <w:rsid w:val="008E4E56"/>
    <w:rPr>
      <w:color w:val="0000FF"/>
      <w:u w:val="single"/>
    </w:rPr>
  </w:style>
  <w:style w:type="paragraph" w:styleId="a7">
    <w:name w:val="Balloon Text"/>
    <w:basedOn w:val="a"/>
    <w:link w:val="a8"/>
    <w:uiPriority w:val="99"/>
    <w:semiHidden/>
    <w:unhideWhenUsed/>
    <w:rsid w:val="008E4E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94879">
      <w:bodyDiv w:val="1"/>
      <w:marLeft w:val="0"/>
      <w:marRight w:val="0"/>
      <w:marTop w:val="0"/>
      <w:marBottom w:val="0"/>
      <w:divBdr>
        <w:top w:val="none" w:sz="0" w:space="0" w:color="auto"/>
        <w:left w:val="none" w:sz="0" w:space="0" w:color="auto"/>
        <w:bottom w:val="none" w:sz="0" w:space="0" w:color="auto"/>
        <w:right w:val="none" w:sz="0" w:space="0" w:color="auto"/>
      </w:divBdr>
      <w:divsChild>
        <w:div w:id="1171141796">
          <w:blockQuote w:val="1"/>
          <w:marLeft w:val="0"/>
          <w:marRight w:val="0"/>
          <w:marTop w:val="150"/>
          <w:marBottom w:val="150"/>
          <w:divBdr>
            <w:top w:val="single" w:sz="6" w:space="0" w:color="C0C0C0"/>
            <w:left w:val="single" w:sz="6" w:space="15" w:color="C0C0C0"/>
            <w:bottom w:val="single" w:sz="6" w:space="0" w:color="C0C0C0"/>
            <w:right w:val="single" w:sz="6" w:space="3" w:color="C0C0C0"/>
          </w:divBdr>
        </w:div>
      </w:divsChild>
    </w:div>
    <w:div w:id="14873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popular/tkrf/14_75.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ED21-5579-43DE-8048-72B32193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User</cp:lastModifiedBy>
  <cp:revision>18</cp:revision>
  <dcterms:created xsi:type="dcterms:W3CDTF">2017-04-11T12:00:00Z</dcterms:created>
  <dcterms:modified xsi:type="dcterms:W3CDTF">2023-05-29T11:42:00Z</dcterms:modified>
</cp:coreProperties>
</file>